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9FCA" w14:textId="77777777" w:rsidR="001F61CF" w:rsidRPr="00402376" w:rsidRDefault="00A974B1" w:rsidP="006725CB">
      <w:pPr>
        <w:jc w:val="center"/>
        <w:rPr>
          <w:rFonts w:ascii="Century" w:hAnsi="Century"/>
          <w:b/>
          <w:sz w:val="24"/>
          <w:szCs w:val="24"/>
        </w:rPr>
      </w:pPr>
      <w:r w:rsidRPr="00402376">
        <w:rPr>
          <w:rFonts w:ascii="Century" w:hAnsi="Century"/>
          <w:b/>
          <w:sz w:val="24"/>
          <w:szCs w:val="24"/>
        </w:rPr>
        <w:t>Tips for finding missing clients</w:t>
      </w:r>
    </w:p>
    <w:p w14:paraId="748D5663" w14:textId="495FA6FC" w:rsidR="008D628E" w:rsidRDefault="00030537">
      <w:pPr>
        <w:rPr>
          <w:rFonts w:ascii="Century" w:hAnsi="Century"/>
          <w:sz w:val="24"/>
          <w:szCs w:val="24"/>
        </w:rPr>
      </w:pPr>
      <w:r>
        <w:rPr>
          <w:rFonts w:ascii="Century" w:hAnsi="Century"/>
          <w:sz w:val="24"/>
          <w:szCs w:val="24"/>
        </w:rPr>
        <w:t>Best practices during initial client contact:</w:t>
      </w:r>
    </w:p>
    <w:p w14:paraId="589D595E" w14:textId="7793C9D9" w:rsidR="00030537" w:rsidRDefault="00030537" w:rsidP="00030537">
      <w:pPr>
        <w:pStyle w:val="ListParagraph"/>
        <w:numPr>
          <w:ilvl w:val="0"/>
          <w:numId w:val="2"/>
        </w:numPr>
        <w:rPr>
          <w:rFonts w:ascii="Century" w:hAnsi="Century"/>
          <w:sz w:val="24"/>
          <w:szCs w:val="24"/>
        </w:rPr>
      </w:pPr>
      <w:r w:rsidRPr="00030537">
        <w:rPr>
          <w:rFonts w:ascii="Century" w:hAnsi="Century"/>
          <w:sz w:val="24"/>
          <w:szCs w:val="24"/>
        </w:rPr>
        <w:t>Always try collect the names, addresses, telephone numbers, and e-mail addresses of at least two emergency contacts from every client.</w:t>
      </w:r>
    </w:p>
    <w:p w14:paraId="7BB3816A" w14:textId="77777777" w:rsidR="00030537" w:rsidRPr="00030537" w:rsidRDefault="00030537" w:rsidP="00030537">
      <w:pPr>
        <w:pStyle w:val="ListParagraph"/>
        <w:rPr>
          <w:rFonts w:ascii="Century" w:hAnsi="Century"/>
          <w:sz w:val="24"/>
          <w:szCs w:val="24"/>
        </w:rPr>
      </w:pPr>
    </w:p>
    <w:p w14:paraId="6A44487A" w14:textId="3F7E58BB" w:rsidR="00030537" w:rsidRPr="00030537" w:rsidRDefault="00030537" w:rsidP="00030537">
      <w:pPr>
        <w:pStyle w:val="ListParagraph"/>
        <w:numPr>
          <w:ilvl w:val="0"/>
          <w:numId w:val="2"/>
        </w:numPr>
        <w:rPr>
          <w:rFonts w:ascii="Century" w:hAnsi="Century"/>
          <w:sz w:val="24"/>
          <w:szCs w:val="24"/>
        </w:rPr>
      </w:pPr>
      <w:r w:rsidRPr="00030537">
        <w:rPr>
          <w:rFonts w:ascii="Century" w:hAnsi="Century"/>
          <w:sz w:val="24"/>
          <w:szCs w:val="24"/>
        </w:rPr>
        <w:t>Ask clients for the names and numbers of the other professionals with whom your client has regular contact.  (Therapists, doctors, and probation officers.)  Get your client’s authorization to establish and maintain contact with these professionals.  Get written releases signed where possible.</w:t>
      </w:r>
    </w:p>
    <w:p w14:paraId="110FC230" w14:textId="249959F8" w:rsidR="00030537" w:rsidRDefault="00030537">
      <w:pPr>
        <w:rPr>
          <w:rFonts w:ascii="Century" w:hAnsi="Century"/>
          <w:sz w:val="24"/>
          <w:szCs w:val="24"/>
        </w:rPr>
      </w:pPr>
      <w:r w:rsidRPr="00402376">
        <w:rPr>
          <w:rFonts w:ascii="Century" w:hAnsi="Century"/>
          <w:sz w:val="24"/>
          <w:szCs w:val="24"/>
        </w:rPr>
        <w:t>What must you do if your client suddenly drops off the face of the earth?</w:t>
      </w:r>
    </w:p>
    <w:p w14:paraId="783DC3E0" w14:textId="7595DB6C" w:rsidR="00030537" w:rsidRPr="00402376" w:rsidRDefault="00030537">
      <w:pPr>
        <w:rPr>
          <w:rFonts w:ascii="Century" w:hAnsi="Century"/>
          <w:sz w:val="24"/>
          <w:szCs w:val="24"/>
        </w:rPr>
      </w:pPr>
      <w:r>
        <w:rPr>
          <w:rFonts w:ascii="Century" w:hAnsi="Century"/>
          <w:sz w:val="24"/>
          <w:szCs w:val="24"/>
        </w:rPr>
        <w:t>First:</w:t>
      </w:r>
    </w:p>
    <w:p w14:paraId="6D38081A" w14:textId="77777777" w:rsidR="008D628E" w:rsidRPr="00402376" w:rsidRDefault="008D628E" w:rsidP="008D628E">
      <w:pPr>
        <w:rPr>
          <w:rFonts w:ascii="Century" w:hAnsi="Century"/>
          <w:sz w:val="24"/>
          <w:szCs w:val="24"/>
        </w:rPr>
      </w:pPr>
      <w:r w:rsidRPr="00402376">
        <w:rPr>
          <w:rFonts w:ascii="Century" w:hAnsi="Century"/>
          <w:sz w:val="24"/>
          <w:szCs w:val="24"/>
        </w:rPr>
        <w:t>Search for the missing client using one of (or all) of the following approaches:</w:t>
      </w:r>
    </w:p>
    <w:p w14:paraId="199BBC44" w14:textId="77777777" w:rsidR="008D628E" w:rsidRPr="00402376" w:rsidRDefault="008D628E" w:rsidP="00402376">
      <w:pPr>
        <w:pStyle w:val="ListParagraph"/>
        <w:numPr>
          <w:ilvl w:val="0"/>
          <w:numId w:val="1"/>
        </w:numPr>
        <w:rPr>
          <w:rFonts w:ascii="Century" w:hAnsi="Century"/>
          <w:sz w:val="24"/>
          <w:szCs w:val="24"/>
        </w:rPr>
      </w:pPr>
      <w:r w:rsidRPr="00402376">
        <w:rPr>
          <w:rFonts w:ascii="Century" w:hAnsi="Century"/>
          <w:sz w:val="24"/>
          <w:szCs w:val="24"/>
        </w:rPr>
        <w:t>Mailing, e-mailing and telephoning a client at all known addresses and telephone numbers.</w:t>
      </w:r>
    </w:p>
    <w:p w14:paraId="0692490F" w14:textId="77777777" w:rsidR="008D628E" w:rsidRPr="00402376" w:rsidRDefault="008D628E" w:rsidP="00402376">
      <w:pPr>
        <w:pStyle w:val="ListParagraph"/>
        <w:numPr>
          <w:ilvl w:val="0"/>
          <w:numId w:val="1"/>
        </w:numPr>
        <w:rPr>
          <w:rFonts w:ascii="Century" w:hAnsi="Century"/>
          <w:sz w:val="24"/>
          <w:szCs w:val="24"/>
        </w:rPr>
      </w:pPr>
      <w:r w:rsidRPr="00402376">
        <w:rPr>
          <w:rFonts w:ascii="Century" w:hAnsi="Century"/>
          <w:sz w:val="24"/>
          <w:szCs w:val="24"/>
        </w:rPr>
        <w:t>Utilizing web search services such as Google and social networking sites to locate additional contact information.</w:t>
      </w:r>
    </w:p>
    <w:p w14:paraId="35097B73" w14:textId="77777777" w:rsidR="008D628E" w:rsidRPr="00402376" w:rsidRDefault="008D628E" w:rsidP="00402376">
      <w:pPr>
        <w:pStyle w:val="ListParagraph"/>
        <w:numPr>
          <w:ilvl w:val="0"/>
          <w:numId w:val="1"/>
        </w:numPr>
        <w:rPr>
          <w:rFonts w:ascii="Century" w:hAnsi="Century"/>
          <w:sz w:val="24"/>
          <w:szCs w:val="24"/>
        </w:rPr>
      </w:pPr>
      <w:r w:rsidRPr="00402376">
        <w:rPr>
          <w:rFonts w:ascii="Century" w:hAnsi="Century"/>
          <w:sz w:val="24"/>
          <w:szCs w:val="24"/>
        </w:rPr>
        <w:t>Researching public records such as property, tax, voter, marriage and court records and reviewing the client file for alternate contact information.</w:t>
      </w:r>
    </w:p>
    <w:p w14:paraId="47D1AAB1" w14:textId="77777777" w:rsidR="008D628E" w:rsidRPr="00402376" w:rsidRDefault="008D628E" w:rsidP="00402376">
      <w:pPr>
        <w:pStyle w:val="ListParagraph"/>
        <w:numPr>
          <w:ilvl w:val="0"/>
          <w:numId w:val="1"/>
        </w:numPr>
        <w:rPr>
          <w:rFonts w:ascii="Century" w:hAnsi="Century"/>
          <w:sz w:val="24"/>
          <w:szCs w:val="24"/>
        </w:rPr>
      </w:pPr>
      <w:r w:rsidRPr="00402376">
        <w:rPr>
          <w:rFonts w:ascii="Century" w:hAnsi="Century"/>
          <w:sz w:val="24"/>
          <w:szCs w:val="24"/>
        </w:rPr>
        <w:t>Visiting (or sending a staff member to visit) the client’s home or place of employment.</w:t>
      </w:r>
    </w:p>
    <w:p w14:paraId="46DE8271" w14:textId="0937CF5F" w:rsidR="00030537" w:rsidRPr="00030537" w:rsidRDefault="008D628E" w:rsidP="008D628E">
      <w:pPr>
        <w:pStyle w:val="ListParagraph"/>
        <w:numPr>
          <w:ilvl w:val="0"/>
          <w:numId w:val="1"/>
        </w:numPr>
        <w:rPr>
          <w:rFonts w:ascii="Century" w:hAnsi="Century"/>
          <w:sz w:val="24"/>
          <w:szCs w:val="24"/>
        </w:rPr>
      </w:pPr>
      <w:r w:rsidRPr="00402376">
        <w:rPr>
          <w:rFonts w:ascii="Century" w:hAnsi="Century"/>
          <w:sz w:val="24"/>
          <w:szCs w:val="24"/>
        </w:rPr>
        <w:t xml:space="preserve">Contacting the client’s family members, co-workers, </w:t>
      </w:r>
      <w:proofErr w:type="gramStart"/>
      <w:r w:rsidRPr="00402376">
        <w:rPr>
          <w:rFonts w:ascii="Century" w:hAnsi="Century"/>
          <w:sz w:val="24"/>
          <w:szCs w:val="24"/>
        </w:rPr>
        <w:t>employer</w:t>
      </w:r>
      <w:proofErr w:type="gramEnd"/>
      <w:r w:rsidRPr="00402376">
        <w:rPr>
          <w:rFonts w:ascii="Century" w:hAnsi="Century"/>
          <w:sz w:val="24"/>
          <w:szCs w:val="24"/>
        </w:rPr>
        <w:t xml:space="preserve"> or medical providers.</w:t>
      </w:r>
    </w:p>
    <w:p w14:paraId="77438D7D" w14:textId="77777777" w:rsidR="00030537" w:rsidRPr="00402376" w:rsidRDefault="00030537" w:rsidP="00030537">
      <w:pPr>
        <w:rPr>
          <w:rFonts w:ascii="Century" w:hAnsi="Century"/>
          <w:sz w:val="24"/>
          <w:szCs w:val="24"/>
        </w:rPr>
      </w:pPr>
      <w:r w:rsidRPr="00402376">
        <w:rPr>
          <w:rFonts w:ascii="Century" w:hAnsi="Century"/>
          <w:sz w:val="24"/>
          <w:szCs w:val="24"/>
        </w:rPr>
        <w:t>To search for incarcerated clients:</w:t>
      </w:r>
    </w:p>
    <w:p w14:paraId="7597F968" w14:textId="77777777" w:rsidR="00030537" w:rsidRPr="00402376" w:rsidRDefault="00030537" w:rsidP="00030537">
      <w:pPr>
        <w:rPr>
          <w:rFonts w:ascii="Century" w:hAnsi="Century"/>
          <w:b/>
          <w:sz w:val="24"/>
          <w:szCs w:val="24"/>
        </w:rPr>
      </w:pPr>
      <w:r w:rsidRPr="00402376">
        <w:rPr>
          <w:rFonts w:ascii="Century" w:hAnsi="Century"/>
          <w:b/>
          <w:sz w:val="24"/>
          <w:szCs w:val="24"/>
        </w:rPr>
        <w:t>Colorado Department of Corrections</w:t>
      </w:r>
    </w:p>
    <w:p w14:paraId="6247F481" w14:textId="77777777" w:rsidR="00030537" w:rsidRPr="00402376" w:rsidRDefault="00030537" w:rsidP="00030537">
      <w:pPr>
        <w:rPr>
          <w:rFonts w:ascii="Century" w:hAnsi="Century"/>
          <w:sz w:val="24"/>
          <w:szCs w:val="24"/>
        </w:rPr>
      </w:pPr>
      <w:r w:rsidRPr="00402376">
        <w:rPr>
          <w:rFonts w:ascii="Century" w:hAnsi="Century"/>
          <w:sz w:val="24"/>
          <w:szCs w:val="24"/>
        </w:rPr>
        <w:t>The locations of all inmates and Department of Corrections facilities can be found at this link.</w:t>
      </w:r>
    </w:p>
    <w:p w14:paraId="14040168" w14:textId="2A1D5138" w:rsidR="00030537" w:rsidRPr="00402376" w:rsidRDefault="00656B0B" w:rsidP="00030537">
      <w:pPr>
        <w:rPr>
          <w:rFonts w:ascii="Century" w:hAnsi="Century"/>
          <w:sz w:val="24"/>
          <w:szCs w:val="24"/>
        </w:rPr>
      </w:pPr>
      <w:hyperlink r:id="rId5" w:history="1">
        <w:r w:rsidR="00030537" w:rsidRPr="00402376">
          <w:rPr>
            <w:rStyle w:val="Hyperlink"/>
            <w:rFonts w:ascii="Century" w:hAnsi="Century"/>
            <w:sz w:val="24"/>
            <w:szCs w:val="24"/>
          </w:rPr>
          <w:t>http://www.doc.state.co.us/oss/</w:t>
        </w:r>
      </w:hyperlink>
    </w:p>
    <w:p w14:paraId="78B6BFBB" w14:textId="77777777" w:rsidR="00030537" w:rsidRPr="00402376" w:rsidRDefault="00030537" w:rsidP="00030537">
      <w:pPr>
        <w:rPr>
          <w:rFonts w:ascii="Century" w:hAnsi="Century"/>
          <w:b/>
          <w:sz w:val="24"/>
          <w:szCs w:val="24"/>
        </w:rPr>
      </w:pPr>
      <w:proofErr w:type="spellStart"/>
      <w:r w:rsidRPr="00402376">
        <w:rPr>
          <w:rFonts w:ascii="Century" w:hAnsi="Century"/>
          <w:b/>
          <w:sz w:val="24"/>
          <w:szCs w:val="24"/>
        </w:rPr>
        <w:t>Vinelink</w:t>
      </w:r>
      <w:proofErr w:type="spellEnd"/>
    </w:p>
    <w:p w14:paraId="15E657AE" w14:textId="77777777" w:rsidR="00030537" w:rsidRPr="00402376" w:rsidRDefault="00030537" w:rsidP="00030537">
      <w:pPr>
        <w:rPr>
          <w:rFonts w:ascii="Century" w:hAnsi="Century"/>
          <w:sz w:val="24"/>
          <w:szCs w:val="24"/>
        </w:rPr>
      </w:pPr>
      <w:r w:rsidRPr="00402376">
        <w:rPr>
          <w:rFonts w:ascii="Century" w:hAnsi="Century"/>
          <w:sz w:val="24"/>
          <w:szCs w:val="24"/>
        </w:rPr>
        <w:t xml:space="preserve">Vine link allows users to search for inmates at </w:t>
      </w:r>
      <w:proofErr w:type="gramStart"/>
      <w:r w:rsidRPr="00402376">
        <w:rPr>
          <w:rFonts w:ascii="Century" w:hAnsi="Century"/>
          <w:sz w:val="24"/>
          <w:szCs w:val="24"/>
        </w:rPr>
        <w:t>a number of</w:t>
      </w:r>
      <w:proofErr w:type="gramEnd"/>
      <w:r w:rsidRPr="00402376">
        <w:rPr>
          <w:rFonts w:ascii="Century" w:hAnsi="Century"/>
          <w:sz w:val="24"/>
          <w:szCs w:val="24"/>
        </w:rPr>
        <w:t xml:space="preserve"> city and county facilities in Colorado. If the client </w:t>
      </w:r>
      <w:proofErr w:type="gramStart"/>
      <w:r w:rsidRPr="00402376">
        <w:rPr>
          <w:rFonts w:ascii="Century" w:hAnsi="Century"/>
          <w:sz w:val="24"/>
          <w:szCs w:val="24"/>
        </w:rPr>
        <w:t>is located in</w:t>
      </w:r>
      <w:proofErr w:type="gramEnd"/>
      <w:r w:rsidRPr="00402376">
        <w:rPr>
          <w:rFonts w:ascii="Century" w:hAnsi="Century"/>
          <w:sz w:val="24"/>
          <w:szCs w:val="24"/>
        </w:rPr>
        <w:t xml:space="preserve"> a facility that’s online link you can also sign </w:t>
      </w:r>
      <w:r w:rsidRPr="00402376">
        <w:rPr>
          <w:rFonts w:ascii="Century" w:hAnsi="Century"/>
          <w:sz w:val="24"/>
          <w:szCs w:val="24"/>
        </w:rPr>
        <w:lastRenderedPageBreak/>
        <w:t>up for an alert to tell you when the client is released or is moved. You can also use violence to search for incarcerated clients in other states as well.</w:t>
      </w:r>
    </w:p>
    <w:p w14:paraId="40BE73AB" w14:textId="77777777" w:rsidR="00030537" w:rsidRPr="00402376" w:rsidRDefault="00656B0B" w:rsidP="00030537">
      <w:pPr>
        <w:rPr>
          <w:rFonts w:ascii="Century" w:hAnsi="Century"/>
          <w:sz w:val="24"/>
          <w:szCs w:val="24"/>
        </w:rPr>
      </w:pPr>
      <w:hyperlink r:id="rId6" w:anchor="/home/site/6000" w:history="1">
        <w:r w:rsidR="00030537" w:rsidRPr="00402376">
          <w:rPr>
            <w:rStyle w:val="Hyperlink"/>
            <w:rFonts w:ascii="Century" w:hAnsi="Century"/>
            <w:sz w:val="24"/>
            <w:szCs w:val="24"/>
          </w:rPr>
          <w:t>https://www.vinelink.com/#/home/site/6000</w:t>
        </w:r>
      </w:hyperlink>
      <w:r w:rsidR="00030537" w:rsidRPr="00402376">
        <w:rPr>
          <w:rFonts w:ascii="Century" w:hAnsi="Century"/>
          <w:sz w:val="24"/>
          <w:szCs w:val="24"/>
        </w:rPr>
        <w:t xml:space="preserve"> </w:t>
      </w:r>
    </w:p>
    <w:p w14:paraId="6DC175D1" w14:textId="77777777" w:rsidR="00030537" w:rsidRPr="00402376" w:rsidRDefault="00030537" w:rsidP="00030537">
      <w:pPr>
        <w:rPr>
          <w:rFonts w:ascii="Century" w:hAnsi="Century"/>
          <w:b/>
          <w:sz w:val="24"/>
          <w:szCs w:val="24"/>
        </w:rPr>
      </w:pPr>
      <w:r w:rsidRPr="00402376">
        <w:rPr>
          <w:rFonts w:ascii="Century" w:hAnsi="Century"/>
          <w:b/>
          <w:sz w:val="24"/>
          <w:szCs w:val="24"/>
        </w:rPr>
        <w:t>Jails not included in Vine</w:t>
      </w:r>
    </w:p>
    <w:p w14:paraId="31D1D4B4" w14:textId="77777777" w:rsidR="00030537" w:rsidRPr="00402376" w:rsidRDefault="00030537" w:rsidP="00030537">
      <w:pPr>
        <w:rPr>
          <w:rFonts w:ascii="Century" w:hAnsi="Century"/>
          <w:sz w:val="24"/>
          <w:szCs w:val="24"/>
        </w:rPr>
      </w:pPr>
      <w:r w:rsidRPr="00402376">
        <w:rPr>
          <w:rFonts w:ascii="Century" w:hAnsi="Century"/>
          <w:sz w:val="24"/>
          <w:szCs w:val="24"/>
        </w:rPr>
        <w:t xml:space="preserve">Some counties are not on </w:t>
      </w:r>
      <w:proofErr w:type="gramStart"/>
      <w:r w:rsidRPr="00402376">
        <w:rPr>
          <w:rFonts w:ascii="Century" w:hAnsi="Century"/>
          <w:sz w:val="24"/>
          <w:szCs w:val="24"/>
        </w:rPr>
        <w:t>Vine, and</w:t>
      </w:r>
      <w:proofErr w:type="gramEnd"/>
      <w:r w:rsidRPr="00402376">
        <w:rPr>
          <w:rFonts w:ascii="Century" w:hAnsi="Century"/>
          <w:sz w:val="24"/>
          <w:szCs w:val="24"/>
        </w:rPr>
        <w:t xml:space="preserve"> require searches on those county sites.  Those counties include:</w:t>
      </w:r>
    </w:p>
    <w:p w14:paraId="59D9C7F1" w14:textId="77777777" w:rsidR="00030537" w:rsidRPr="00402376" w:rsidRDefault="00030537" w:rsidP="00030537">
      <w:pPr>
        <w:rPr>
          <w:rFonts w:ascii="Century" w:hAnsi="Century"/>
          <w:i/>
          <w:sz w:val="24"/>
          <w:szCs w:val="24"/>
        </w:rPr>
      </w:pPr>
      <w:r w:rsidRPr="00402376">
        <w:rPr>
          <w:rFonts w:ascii="Century" w:hAnsi="Century"/>
          <w:i/>
          <w:sz w:val="24"/>
          <w:szCs w:val="24"/>
        </w:rPr>
        <w:t>Arapahoe</w:t>
      </w:r>
    </w:p>
    <w:p w14:paraId="12D85E7E" w14:textId="77777777" w:rsidR="00030537" w:rsidRPr="00402376" w:rsidRDefault="00656B0B" w:rsidP="00030537">
      <w:pPr>
        <w:rPr>
          <w:rFonts w:ascii="Century" w:hAnsi="Century"/>
          <w:sz w:val="24"/>
          <w:szCs w:val="24"/>
        </w:rPr>
      </w:pPr>
      <w:hyperlink r:id="rId7" w:history="1">
        <w:r w:rsidR="00030537" w:rsidRPr="00402376">
          <w:rPr>
            <w:rStyle w:val="Hyperlink"/>
            <w:rFonts w:ascii="Century" w:hAnsi="Century"/>
            <w:sz w:val="24"/>
            <w:szCs w:val="24"/>
          </w:rPr>
          <w:t>http://www.arapahoegov.com/index.aspx?NID=1175</w:t>
        </w:r>
      </w:hyperlink>
    </w:p>
    <w:p w14:paraId="11ADB782" w14:textId="77777777" w:rsidR="00030537" w:rsidRPr="00402376" w:rsidRDefault="00030537" w:rsidP="00030537">
      <w:pPr>
        <w:rPr>
          <w:rFonts w:ascii="Century" w:hAnsi="Century"/>
          <w:i/>
          <w:sz w:val="24"/>
          <w:szCs w:val="24"/>
        </w:rPr>
      </w:pPr>
      <w:r w:rsidRPr="00402376">
        <w:rPr>
          <w:rFonts w:ascii="Century" w:hAnsi="Century"/>
          <w:i/>
          <w:sz w:val="24"/>
          <w:szCs w:val="24"/>
        </w:rPr>
        <w:t>El Paso</w:t>
      </w:r>
    </w:p>
    <w:p w14:paraId="50659E63" w14:textId="77777777" w:rsidR="00030537" w:rsidRPr="00402376" w:rsidRDefault="00656B0B" w:rsidP="00030537">
      <w:pPr>
        <w:rPr>
          <w:rFonts w:ascii="Century" w:hAnsi="Century"/>
          <w:sz w:val="24"/>
          <w:szCs w:val="24"/>
        </w:rPr>
      </w:pPr>
      <w:hyperlink r:id="rId8" w:anchor="!/search" w:history="1">
        <w:r w:rsidR="00030537" w:rsidRPr="00402376">
          <w:rPr>
            <w:rStyle w:val="Hyperlink"/>
            <w:rFonts w:ascii="Century" w:hAnsi="Century"/>
            <w:sz w:val="24"/>
            <w:szCs w:val="24"/>
          </w:rPr>
          <w:t>https://www.epcsheriffsoffice.com/inmate-search#!/search</w:t>
        </w:r>
      </w:hyperlink>
    </w:p>
    <w:p w14:paraId="657A2397" w14:textId="77777777" w:rsidR="00030537" w:rsidRPr="00402376" w:rsidRDefault="00030537" w:rsidP="00030537">
      <w:pPr>
        <w:rPr>
          <w:rFonts w:ascii="Century" w:hAnsi="Century"/>
          <w:i/>
          <w:sz w:val="24"/>
          <w:szCs w:val="24"/>
        </w:rPr>
      </w:pPr>
      <w:r w:rsidRPr="00402376">
        <w:rPr>
          <w:rFonts w:ascii="Century" w:hAnsi="Century"/>
          <w:i/>
          <w:sz w:val="24"/>
          <w:szCs w:val="24"/>
        </w:rPr>
        <w:t>Jefferson</w:t>
      </w:r>
    </w:p>
    <w:p w14:paraId="19B439B7" w14:textId="77777777" w:rsidR="00030537" w:rsidRPr="00402376" w:rsidRDefault="00656B0B" w:rsidP="00030537">
      <w:pPr>
        <w:rPr>
          <w:rFonts w:ascii="Century" w:hAnsi="Century"/>
          <w:sz w:val="24"/>
          <w:szCs w:val="24"/>
        </w:rPr>
      </w:pPr>
      <w:hyperlink r:id="rId9" w:history="1">
        <w:r w:rsidR="00030537" w:rsidRPr="00402376">
          <w:rPr>
            <w:rStyle w:val="Hyperlink"/>
            <w:rFonts w:ascii="Century" w:hAnsi="Century"/>
            <w:sz w:val="24"/>
            <w:szCs w:val="24"/>
          </w:rPr>
          <w:t>http://jeffco.us/wil/</w:t>
        </w:r>
      </w:hyperlink>
    </w:p>
    <w:p w14:paraId="323C3DEF" w14:textId="77777777" w:rsidR="00030537" w:rsidRPr="00402376" w:rsidRDefault="00030537" w:rsidP="00030537">
      <w:pPr>
        <w:rPr>
          <w:rFonts w:ascii="Century" w:hAnsi="Century"/>
          <w:b/>
          <w:sz w:val="24"/>
          <w:szCs w:val="24"/>
        </w:rPr>
      </w:pPr>
      <w:r w:rsidRPr="00402376">
        <w:rPr>
          <w:rFonts w:ascii="Century" w:hAnsi="Century"/>
          <w:b/>
          <w:sz w:val="24"/>
          <w:szCs w:val="24"/>
        </w:rPr>
        <w:t>Federal facilities</w:t>
      </w:r>
    </w:p>
    <w:p w14:paraId="4C20C9C6" w14:textId="77777777" w:rsidR="00030537" w:rsidRPr="00402376" w:rsidRDefault="00030537" w:rsidP="00030537">
      <w:pPr>
        <w:rPr>
          <w:rFonts w:ascii="Century" w:hAnsi="Century"/>
          <w:sz w:val="24"/>
          <w:szCs w:val="24"/>
        </w:rPr>
      </w:pPr>
      <w:r w:rsidRPr="00402376">
        <w:rPr>
          <w:rFonts w:ascii="Century" w:hAnsi="Century"/>
          <w:sz w:val="24"/>
          <w:szCs w:val="24"/>
        </w:rPr>
        <w:t>Yo</w:t>
      </w:r>
      <w:r>
        <w:rPr>
          <w:rFonts w:ascii="Century" w:hAnsi="Century"/>
          <w:sz w:val="24"/>
          <w:szCs w:val="24"/>
        </w:rPr>
        <w:t>u can search all the Bureau of P</w:t>
      </w:r>
      <w:r w:rsidRPr="00402376">
        <w:rPr>
          <w:rFonts w:ascii="Century" w:hAnsi="Century"/>
          <w:sz w:val="24"/>
          <w:szCs w:val="24"/>
        </w:rPr>
        <w:t>rison facilities with one search</w:t>
      </w:r>
    </w:p>
    <w:p w14:paraId="20E98381" w14:textId="190ED0A4" w:rsidR="00030537" w:rsidRDefault="00656B0B" w:rsidP="00030537">
      <w:pPr>
        <w:rPr>
          <w:rFonts w:ascii="Century" w:hAnsi="Century"/>
          <w:sz w:val="24"/>
          <w:szCs w:val="24"/>
        </w:rPr>
      </w:pPr>
      <w:hyperlink r:id="rId10" w:history="1">
        <w:r w:rsidR="00030537" w:rsidRPr="00402376">
          <w:rPr>
            <w:rStyle w:val="Hyperlink"/>
            <w:rFonts w:ascii="Century" w:hAnsi="Century"/>
            <w:sz w:val="24"/>
            <w:szCs w:val="24"/>
          </w:rPr>
          <w:t>https://www.bop.gov/inmateloc/</w:t>
        </w:r>
      </w:hyperlink>
      <w:r w:rsidR="00030537" w:rsidRPr="00402376">
        <w:rPr>
          <w:rFonts w:ascii="Century" w:hAnsi="Century"/>
          <w:sz w:val="24"/>
          <w:szCs w:val="24"/>
        </w:rPr>
        <w:t xml:space="preserve"> </w:t>
      </w:r>
    </w:p>
    <w:p w14:paraId="6D23445B" w14:textId="77777777" w:rsidR="009B622C" w:rsidRDefault="009B622C" w:rsidP="009B622C">
      <w:pPr>
        <w:rPr>
          <w:rFonts w:ascii="Century" w:hAnsi="Century"/>
          <w:sz w:val="24"/>
          <w:szCs w:val="24"/>
        </w:rPr>
      </w:pPr>
      <w:r>
        <w:rPr>
          <w:rFonts w:ascii="Century" w:hAnsi="Century"/>
          <w:b/>
          <w:bCs/>
          <w:sz w:val="24"/>
          <w:szCs w:val="24"/>
        </w:rPr>
        <w:t>To Find Clients in ICE</w:t>
      </w:r>
      <w:r>
        <w:rPr>
          <w:rFonts w:ascii="Century" w:hAnsi="Century"/>
          <w:sz w:val="24"/>
          <w:szCs w:val="24"/>
        </w:rPr>
        <w:t xml:space="preserve"> </w:t>
      </w:r>
      <w:r>
        <w:rPr>
          <w:rFonts w:ascii="Century" w:hAnsi="Century"/>
          <w:b/>
          <w:bCs/>
          <w:sz w:val="24"/>
          <w:szCs w:val="24"/>
        </w:rPr>
        <w:t>Custody</w:t>
      </w:r>
      <w:r>
        <w:rPr>
          <w:rFonts w:ascii="Century" w:hAnsi="Century"/>
          <w:sz w:val="24"/>
          <w:szCs w:val="24"/>
        </w:rPr>
        <w:t>:</w:t>
      </w:r>
    </w:p>
    <w:p w14:paraId="50DE5182" w14:textId="0B9EA72B" w:rsidR="009B622C" w:rsidRPr="004B47DB" w:rsidRDefault="009B622C" w:rsidP="009B622C">
      <w:pPr>
        <w:pStyle w:val="ListParagraph"/>
        <w:numPr>
          <w:ilvl w:val="0"/>
          <w:numId w:val="2"/>
        </w:numPr>
        <w:rPr>
          <w:rFonts w:ascii="Century" w:hAnsi="Century"/>
          <w:sz w:val="24"/>
          <w:szCs w:val="24"/>
        </w:rPr>
      </w:pPr>
      <w:r w:rsidRPr="004B47DB">
        <w:rPr>
          <w:rFonts w:ascii="Century" w:hAnsi="Century"/>
          <w:sz w:val="24"/>
          <w:szCs w:val="24"/>
        </w:rPr>
        <w:t xml:space="preserve">First, check the ICE Online Detainee Locator System (ODLS).  To search by biographical information, you will need the client’s first name, last name, and country of birth.  ODLS can be found here: </w:t>
      </w:r>
      <w:hyperlink r:id="rId11" w:anchor="/index" w:history="1">
        <w:r w:rsidRPr="004B47DB">
          <w:rPr>
            <w:rStyle w:val="Hyperlink"/>
            <w:rFonts w:ascii="Century" w:hAnsi="Century"/>
            <w:sz w:val="24"/>
            <w:szCs w:val="24"/>
          </w:rPr>
          <w:t>https://locator.ice.gov/odls/#/index</w:t>
        </w:r>
      </w:hyperlink>
    </w:p>
    <w:p w14:paraId="7BE9D8B1" w14:textId="77777777" w:rsidR="009B622C" w:rsidRPr="004B47DB" w:rsidRDefault="009B622C" w:rsidP="009B622C">
      <w:pPr>
        <w:pStyle w:val="ListParagraph"/>
        <w:numPr>
          <w:ilvl w:val="0"/>
          <w:numId w:val="2"/>
        </w:numPr>
        <w:rPr>
          <w:rFonts w:ascii="Century" w:hAnsi="Century"/>
          <w:sz w:val="24"/>
          <w:szCs w:val="24"/>
        </w:rPr>
      </w:pPr>
      <w:r w:rsidRPr="004B47DB">
        <w:rPr>
          <w:rFonts w:ascii="Century" w:hAnsi="Century"/>
          <w:sz w:val="24"/>
          <w:szCs w:val="24"/>
        </w:rPr>
        <w:t xml:space="preserve">If you cannot locate your client using ODLS, consider contacting your local ICE ERO office with jurisdiction over the location of the arrest.  This website has contact info for local ICE offices: </w:t>
      </w:r>
      <w:hyperlink r:id="rId12" w:history="1">
        <w:r w:rsidRPr="004B47DB">
          <w:rPr>
            <w:rStyle w:val="Hyperlink"/>
            <w:rFonts w:ascii="Century" w:hAnsi="Century"/>
            <w:sz w:val="24"/>
            <w:szCs w:val="24"/>
          </w:rPr>
          <w:t>https://www.ice.gov/contact/field-offices</w:t>
        </w:r>
      </w:hyperlink>
      <w:r w:rsidRPr="004B47DB">
        <w:rPr>
          <w:rFonts w:ascii="Century" w:hAnsi="Century"/>
          <w:sz w:val="24"/>
          <w:szCs w:val="24"/>
        </w:rPr>
        <w:t xml:space="preserve">  If you are not getting a return call, you can try calling the ICE Community Relations Officer: </w:t>
      </w:r>
      <w:hyperlink r:id="rId13" w:history="1">
        <w:r w:rsidRPr="004B47DB">
          <w:rPr>
            <w:rStyle w:val="Hyperlink"/>
            <w:rFonts w:ascii="Century" w:hAnsi="Century"/>
            <w:sz w:val="24"/>
            <w:szCs w:val="24"/>
          </w:rPr>
          <w:t>https://www.ice.gov/contact/ope</w:t>
        </w:r>
      </w:hyperlink>
      <w:r w:rsidRPr="004B47DB">
        <w:rPr>
          <w:rFonts w:ascii="Century" w:hAnsi="Century"/>
          <w:sz w:val="24"/>
          <w:szCs w:val="24"/>
        </w:rPr>
        <w:t>.</w:t>
      </w:r>
    </w:p>
    <w:p w14:paraId="552AF0CA" w14:textId="77777777" w:rsidR="009B622C" w:rsidRDefault="009B622C" w:rsidP="009B622C">
      <w:pPr>
        <w:pStyle w:val="ListParagraph"/>
        <w:numPr>
          <w:ilvl w:val="0"/>
          <w:numId w:val="2"/>
        </w:numPr>
        <w:rPr>
          <w:rFonts w:ascii="Century" w:hAnsi="Century"/>
          <w:sz w:val="24"/>
          <w:szCs w:val="24"/>
        </w:rPr>
      </w:pPr>
      <w:r w:rsidRPr="004B47DB">
        <w:rPr>
          <w:rFonts w:ascii="Century" w:hAnsi="Century"/>
          <w:sz w:val="24"/>
          <w:szCs w:val="24"/>
        </w:rPr>
        <w:t xml:space="preserve">Here is a link to information about ICE detention facilities: </w:t>
      </w:r>
      <w:hyperlink r:id="rId14" w:history="1">
        <w:r w:rsidRPr="004B47DB">
          <w:rPr>
            <w:rStyle w:val="Hyperlink"/>
            <w:rFonts w:ascii="Century" w:hAnsi="Century"/>
            <w:sz w:val="24"/>
            <w:szCs w:val="24"/>
          </w:rPr>
          <w:t>https://www.ice.gov/detention-facilities</w:t>
        </w:r>
      </w:hyperlink>
    </w:p>
    <w:p w14:paraId="6B646433" w14:textId="77777777" w:rsidR="009B622C" w:rsidRPr="004B47DB" w:rsidRDefault="009B622C" w:rsidP="009B622C">
      <w:pPr>
        <w:pStyle w:val="ListParagraph"/>
        <w:numPr>
          <w:ilvl w:val="0"/>
          <w:numId w:val="2"/>
        </w:numPr>
        <w:rPr>
          <w:rFonts w:ascii="Century" w:hAnsi="Century"/>
          <w:sz w:val="24"/>
          <w:szCs w:val="24"/>
        </w:rPr>
      </w:pPr>
      <w:r>
        <w:rPr>
          <w:rFonts w:ascii="Century" w:hAnsi="Century"/>
          <w:sz w:val="24"/>
          <w:szCs w:val="24"/>
        </w:rPr>
        <w:t xml:space="preserve">ORPC provides access for RPCs to consult with an immigration attorney who may be able to provide further guidance in locating your client in ICE custody or determining their status in deportation proceedings.  Please email the </w:t>
      </w:r>
      <w:r>
        <w:rPr>
          <w:rFonts w:ascii="Century" w:hAnsi="Century"/>
          <w:sz w:val="24"/>
          <w:szCs w:val="24"/>
        </w:rPr>
        <w:lastRenderedPageBreak/>
        <w:t xml:space="preserve">Case Strategy Director at </w:t>
      </w:r>
      <w:hyperlink r:id="rId15" w:history="1">
        <w:r w:rsidRPr="00FE3F52">
          <w:rPr>
            <w:rStyle w:val="Hyperlink"/>
            <w:rFonts w:ascii="Century" w:hAnsi="Century"/>
            <w:sz w:val="24"/>
            <w:szCs w:val="24"/>
          </w:rPr>
          <w:t>mjordan@coloradoorpc.org</w:t>
        </w:r>
      </w:hyperlink>
      <w:r>
        <w:rPr>
          <w:rFonts w:ascii="Century" w:hAnsi="Century"/>
          <w:sz w:val="24"/>
          <w:szCs w:val="24"/>
        </w:rPr>
        <w:t xml:space="preserve"> to authorize a consultation.</w:t>
      </w:r>
    </w:p>
    <w:p w14:paraId="28A43C8D" w14:textId="0520F02F" w:rsidR="00030537" w:rsidRDefault="00030537" w:rsidP="008D628E">
      <w:pPr>
        <w:rPr>
          <w:rFonts w:ascii="Century" w:hAnsi="Century"/>
          <w:sz w:val="24"/>
          <w:szCs w:val="24"/>
        </w:rPr>
      </w:pPr>
      <w:r>
        <w:rPr>
          <w:rFonts w:ascii="Century" w:hAnsi="Century"/>
          <w:sz w:val="24"/>
          <w:szCs w:val="24"/>
        </w:rPr>
        <w:t>Secondary Efforts (Investigators):</w:t>
      </w:r>
    </w:p>
    <w:p w14:paraId="7336599B" w14:textId="1A27C75A" w:rsidR="00030537" w:rsidRPr="00030537" w:rsidRDefault="00030537" w:rsidP="008D628E">
      <w:pPr>
        <w:rPr>
          <w:rFonts w:ascii="Century" w:hAnsi="Century" w:cs="Times New Roman"/>
          <w:sz w:val="24"/>
          <w:szCs w:val="24"/>
        </w:rPr>
      </w:pPr>
      <w:r>
        <w:rPr>
          <w:rFonts w:ascii="Century" w:hAnsi="Century"/>
          <w:sz w:val="24"/>
          <w:szCs w:val="24"/>
        </w:rPr>
        <w:t xml:space="preserve">If your efforts to find your client have failed, request an investigator through ORPC.  To find </w:t>
      </w:r>
      <w:r w:rsidRPr="00030537">
        <w:rPr>
          <w:rFonts w:ascii="Century" w:hAnsi="Century"/>
          <w:sz w:val="24"/>
          <w:szCs w:val="24"/>
        </w:rPr>
        <w:t xml:space="preserve">an investigator, you can either look for an investigator located in the area where you believe your client may be or an investigator who works in your jurisdiction.  You can search for investigators using a map or county filter on our </w:t>
      </w:r>
      <w:r w:rsidRPr="00030537">
        <w:rPr>
          <w:rFonts w:ascii="Century" w:hAnsi="Century" w:cs="Times New Roman"/>
          <w:sz w:val="24"/>
          <w:szCs w:val="24"/>
        </w:rPr>
        <w:t xml:space="preserve">website: </w:t>
      </w:r>
      <w:hyperlink r:id="rId16" w:history="1">
        <w:r w:rsidRPr="00030537">
          <w:rPr>
            <w:rStyle w:val="Hyperlink"/>
            <w:rFonts w:ascii="Century" w:hAnsi="Century" w:cs="Times New Roman"/>
            <w:sz w:val="24"/>
            <w:szCs w:val="24"/>
          </w:rPr>
          <w:t>https://coloradoorpc.org/attorney-center/experts/</w:t>
        </w:r>
      </w:hyperlink>
      <w:r w:rsidRPr="00030537">
        <w:rPr>
          <w:rFonts w:ascii="Century" w:hAnsi="Century" w:cs="Times New Roman"/>
          <w:sz w:val="24"/>
          <w:szCs w:val="24"/>
        </w:rPr>
        <w:t>.</w:t>
      </w:r>
    </w:p>
    <w:p w14:paraId="123A81ED" w14:textId="49A0E0C8" w:rsidR="00030537" w:rsidRPr="00030537" w:rsidRDefault="00030537" w:rsidP="008D628E">
      <w:pPr>
        <w:rPr>
          <w:rFonts w:ascii="Century" w:hAnsi="Century" w:cs="Times New Roman"/>
          <w:sz w:val="24"/>
          <w:szCs w:val="24"/>
        </w:rPr>
      </w:pPr>
      <w:r w:rsidRPr="00030537">
        <w:rPr>
          <w:rFonts w:ascii="Century" w:hAnsi="Century" w:cs="Times New Roman"/>
          <w:sz w:val="24"/>
          <w:szCs w:val="24"/>
        </w:rPr>
        <w:t xml:space="preserve">Once you have located the investigator you would like to use, contact them to let them know what you would like them to do and ask them how many hours and how many travel hours they estimate they would need to perform their work.  Request those hours in RPPS.  If you do not see the investigator you would like to use in RPPS, please contact Melanie at </w:t>
      </w:r>
      <w:hyperlink r:id="rId17" w:history="1">
        <w:r w:rsidRPr="00030537">
          <w:rPr>
            <w:rStyle w:val="Hyperlink"/>
            <w:rFonts w:ascii="Century" w:hAnsi="Century" w:cs="Times New Roman"/>
            <w:sz w:val="24"/>
            <w:szCs w:val="24"/>
          </w:rPr>
          <w:t>mjordan@coloradoorpc.org</w:t>
        </w:r>
      </w:hyperlink>
      <w:r w:rsidRPr="00030537">
        <w:rPr>
          <w:rFonts w:ascii="Century" w:hAnsi="Century" w:cs="Times New Roman"/>
          <w:sz w:val="24"/>
          <w:szCs w:val="24"/>
        </w:rPr>
        <w:t xml:space="preserve"> so that they can be added to the county where you would like to request them.</w:t>
      </w:r>
    </w:p>
    <w:p w14:paraId="0839BE68" w14:textId="5938BEA9" w:rsidR="00030537" w:rsidRPr="00030537" w:rsidRDefault="00030537" w:rsidP="00C63C72">
      <w:pPr>
        <w:rPr>
          <w:rFonts w:ascii="Century" w:hAnsi="Century"/>
          <w:sz w:val="24"/>
          <w:szCs w:val="24"/>
        </w:rPr>
      </w:pPr>
      <w:r w:rsidRPr="00030537">
        <w:rPr>
          <w:rFonts w:ascii="Century" w:hAnsi="Century"/>
          <w:sz w:val="24"/>
          <w:szCs w:val="24"/>
        </w:rPr>
        <w:t>Ethical Issues:</w:t>
      </w:r>
    </w:p>
    <w:p w14:paraId="18806CEB" w14:textId="2AD972D7" w:rsidR="009B622C" w:rsidRPr="009B622C" w:rsidRDefault="009B622C" w:rsidP="009B622C">
      <w:pPr>
        <w:pStyle w:val="ListParagraph"/>
        <w:numPr>
          <w:ilvl w:val="0"/>
          <w:numId w:val="2"/>
        </w:numPr>
        <w:rPr>
          <w:rFonts w:ascii="Century" w:hAnsi="Century"/>
          <w:b/>
          <w:bCs/>
          <w:sz w:val="24"/>
          <w:szCs w:val="24"/>
        </w:rPr>
      </w:pPr>
      <w:r>
        <w:rPr>
          <w:rFonts w:ascii="Century" w:hAnsi="Century"/>
          <w:b/>
          <w:bCs/>
          <w:sz w:val="24"/>
          <w:szCs w:val="24"/>
        </w:rPr>
        <w:t>Provisional Appointments</w:t>
      </w:r>
      <w:r>
        <w:rPr>
          <w:rFonts w:ascii="Century" w:hAnsi="Century"/>
          <w:sz w:val="24"/>
          <w:szCs w:val="24"/>
        </w:rPr>
        <w:t xml:space="preserve">: “When a lawyer-client relationship exists, but the lawyer has not previously received direct instruction from the client and has not received direction from the client on how to act, for instance, in the insurance defense context, then immediately upon receiving the assignment the lawyer should exercise reasonable efforts to locate the client.”  </w:t>
      </w:r>
      <w:hyperlink r:id="rId18" w:history="1">
        <w:r w:rsidRPr="009B622C">
          <w:rPr>
            <w:rStyle w:val="Hyperlink"/>
            <w:rFonts w:ascii="Century" w:hAnsi="Century"/>
            <w:sz w:val="24"/>
            <w:szCs w:val="24"/>
          </w:rPr>
          <w:t>Colorado Bar Association Ethics Opinion 128</w:t>
        </w:r>
      </w:hyperlink>
      <w:r>
        <w:rPr>
          <w:rFonts w:ascii="Century" w:hAnsi="Century"/>
          <w:sz w:val="24"/>
          <w:szCs w:val="24"/>
        </w:rPr>
        <w:t>.  These efforts could include hiring an investigator and contacting family or friends of the client.  Also, clients must consent to representation</w:t>
      </w:r>
      <w:r w:rsidRPr="009B622C">
        <w:rPr>
          <w:rFonts w:ascii="Century" w:hAnsi="Century"/>
          <w:sz w:val="24"/>
          <w:szCs w:val="24"/>
        </w:rPr>
        <w:t xml:space="preserve">.  </w:t>
      </w:r>
      <w:r w:rsidRPr="009B622C">
        <w:rPr>
          <w:rFonts w:ascii="Century" w:hAnsi="Century" w:cs="Times New Roman"/>
          <w:sz w:val="24"/>
          <w:szCs w:val="24"/>
        </w:rPr>
        <w:t xml:space="preserve">“An attorney-client relationship is one of agency and arises only when the parties have given their consent, either express or implied, to its formation.” Comm. on </w:t>
      </w:r>
      <w:proofErr w:type="spellStart"/>
      <w:r w:rsidRPr="009B622C">
        <w:rPr>
          <w:rFonts w:ascii="Century" w:hAnsi="Century" w:cs="Times New Roman"/>
          <w:sz w:val="24"/>
          <w:szCs w:val="24"/>
        </w:rPr>
        <w:t>Prof’l</w:t>
      </w:r>
      <w:proofErr w:type="spellEnd"/>
      <w:r w:rsidRPr="009B622C">
        <w:rPr>
          <w:rFonts w:ascii="Century" w:hAnsi="Century" w:cs="Times New Roman"/>
          <w:sz w:val="24"/>
          <w:szCs w:val="24"/>
        </w:rPr>
        <w:t xml:space="preserve"> Ethics and Grievances of Virgin Islands Bar </w:t>
      </w:r>
      <w:proofErr w:type="spellStart"/>
      <w:r w:rsidRPr="009B622C">
        <w:rPr>
          <w:rFonts w:ascii="Century" w:hAnsi="Century" w:cs="Times New Roman"/>
          <w:sz w:val="24"/>
          <w:szCs w:val="24"/>
        </w:rPr>
        <w:t>Ass’n</w:t>
      </w:r>
      <w:proofErr w:type="spellEnd"/>
      <w:r w:rsidRPr="009B622C">
        <w:rPr>
          <w:rFonts w:ascii="Century" w:hAnsi="Century" w:cs="Times New Roman"/>
          <w:sz w:val="24"/>
          <w:szCs w:val="24"/>
        </w:rPr>
        <w:t xml:space="preserve"> v. Johnson, 447 F.2d 169, 174 (3d Cir. 1971).</w:t>
      </w:r>
    </w:p>
    <w:p w14:paraId="1D94B4C9" w14:textId="77777777" w:rsidR="009B622C" w:rsidRDefault="009B622C" w:rsidP="009B622C">
      <w:pPr>
        <w:pStyle w:val="ListParagraph"/>
        <w:numPr>
          <w:ilvl w:val="0"/>
          <w:numId w:val="2"/>
        </w:numPr>
        <w:rPr>
          <w:rFonts w:ascii="Century" w:hAnsi="Century"/>
          <w:b/>
          <w:bCs/>
          <w:sz w:val="24"/>
          <w:szCs w:val="24"/>
        </w:rPr>
      </w:pPr>
      <w:r>
        <w:rPr>
          <w:rFonts w:ascii="Century" w:hAnsi="Century"/>
          <w:b/>
          <w:bCs/>
          <w:sz w:val="24"/>
          <w:szCs w:val="24"/>
        </w:rPr>
        <w:t>Important Rules of Professional Conduct Relating to Missing Clients:</w:t>
      </w:r>
    </w:p>
    <w:p w14:paraId="2BA2D580" w14:textId="374AFE06" w:rsidR="009B622C" w:rsidRPr="009B622C" w:rsidRDefault="009B622C" w:rsidP="009B622C">
      <w:pPr>
        <w:pStyle w:val="ListParagraph"/>
        <w:numPr>
          <w:ilvl w:val="1"/>
          <w:numId w:val="2"/>
        </w:numPr>
        <w:rPr>
          <w:rFonts w:ascii="Century" w:hAnsi="Century"/>
          <w:sz w:val="24"/>
          <w:szCs w:val="24"/>
        </w:rPr>
      </w:pPr>
      <w:hyperlink r:id="rId19" w:history="1">
        <w:r w:rsidRPr="009B622C">
          <w:rPr>
            <w:rStyle w:val="Hyperlink"/>
            <w:rFonts w:ascii="Century" w:hAnsi="Century"/>
            <w:b/>
            <w:bCs/>
            <w:sz w:val="24"/>
            <w:szCs w:val="24"/>
          </w:rPr>
          <w:t>8.</w:t>
        </w:r>
        <w:r w:rsidRPr="009B622C">
          <w:rPr>
            <w:rStyle w:val="Hyperlink"/>
            <w:rFonts w:ascii="Century" w:hAnsi="Century"/>
            <w:b/>
            <w:bCs/>
            <w:sz w:val="24"/>
            <w:szCs w:val="24"/>
          </w:rPr>
          <w:t>4</w:t>
        </w:r>
      </w:hyperlink>
      <w:r>
        <w:rPr>
          <w:rFonts w:ascii="Century" w:hAnsi="Century"/>
          <w:b/>
          <w:bCs/>
          <w:sz w:val="24"/>
          <w:szCs w:val="24"/>
        </w:rPr>
        <w:t xml:space="preserve">: </w:t>
      </w:r>
      <w:r w:rsidRPr="009B622C">
        <w:rPr>
          <w:rFonts w:ascii="Century" w:hAnsi="Century"/>
          <w:sz w:val="24"/>
          <w:szCs w:val="24"/>
        </w:rPr>
        <w:t>Misconduct</w:t>
      </w:r>
    </w:p>
    <w:p w14:paraId="04732CEF" w14:textId="3BA03892" w:rsidR="009B622C" w:rsidRPr="009B622C" w:rsidRDefault="009B622C" w:rsidP="009B622C">
      <w:pPr>
        <w:pStyle w:val="ListParagraph"/>
        <w:numPr>
          <w:ilvl w:val="1"/>
          <w:numId w:val="2"/>
        </w:numPr>
        <w:rPr>
          <w:rFonts w:ascii="Century" w:hAnsi="Century"/>
          <w:sz w:val="24"/>
          <w:szCs w:val="24"/>
        </w:rPr>
      </w:pPr>
      <w:hyperlink r:id="rId20" w:history="1">
        <w:r w:rsidRPr="009B622C">
          <w:rPr>
            <w:rStyle w:val="Hyperlink"/>
            <w:rFonts w:ascii="Century" w:hAnsi="Century"/>
            <w:sz w:val="24"/>
            <w:szCs w:val="24"/>
          </w:rPr>
          <w:t>4.1</w:t>
        </w:r>
      </w:hyperlink>
      <w:r w:rsidRPr="009B622C">
        <w:rPr>
          <w:rFonts w:ascii="Century" w:hAnsi="Century"/>
          <w:sz w:val="24"/>
          <w:szCs w:val="24"/>
        </w:rPr>
        <w:t>: Truthfulness in Statements to Others</w:t>
      </w:r>
    </w:p>
    <w:p w14:paraId="11DF2AE5" w14:textId="48DFA47F" w:rsidR="009B622C" w:rsidRPr="009B622C" w:rsidRDefault="009B622C" w:rsidP="009B622C">
      <w:pPr>
        <w:pStyle w:val="ListParagraph"/>
        <w:numPr>
          <w:ilvl w:val="1"/>
          <w:numId w:val="2"/>
        </w:numPr>
        <w:rPr>
          <w:rFonts w:ascii="Century" w:hAnsi="Century"/>
          <w:sz w:val="24"/>
          <w:szCs w:val="24"/>
        </w:rPr>
      </w:pPr>
      <w:hyperlink r:id="rId21" w:history="1">
        <w:r w:rsidRPr="009B622C">
          <w:rPr>
            <w:rStyle w:val="Hyperlink"/>
            <w:rFonts w:ascii="Century" w:hAnsi="Century"/>
            <w:sz w:val="24"/>
            <w:szCs w:val="24"/>
          </w:rPr>
          <w:t>3.3</w:t>
        </w:r>
      </w:hyperlink>
      <w:r w:rsidRPr="009B622C">
        <w:rPr>
          <w:rFonts w:ascii="Century" w:hAnsi="Century"/>
          <w:sz w:val="24"/>
          <w:szCs w:val="24"/>
        </w:rPr>
        <w:t>: Candor Toward the Tribunal</w:t>
      </w:r>
    </w:p>
    <w:p w14:paraId="397D5D85" w14:textId="51F53B13" w:rsidR="009B622C" w:rsidRPr="009B622C" w:rsidRDefault="009B622C" w:rsidP="009B622C">
      <w:pPr>
        <w:pStyle w:val="ListParagraph"/>
        <w:numPr>
          <w:ilvl w:val="0"/>
          <w:numId w:val="2"/>
        </w:numPr>
        <w:rPr>
          <w:rFonts w:ascii="Century" w:hAnsi="Century"/>
          <w:b/>
          <w:bCs/>
          <w:sz w:val="24"/>
          <w:szCs w:val="24"/>
        </w:rPr>
      </w:pPr>
      <w:r w:rsidRPr="009B622C">
        <w:rPr>
          <w:rFonts w:ascii="Century" w:hAnsi="Century"/>
          <w:b/>
          <w:bCs/>
          <w:sz w:val="24"/>
          <w:szCs w:val="24"/>
        </w:rPr>
        <w:t xml:space="preserve">In some situations, the RPC may not have enough information to act on the client’s behalf.  </w:t>
      </w:r>
      <w:hyperlink r:id="rId22" w:history="1">
        <w:r w:rsidRPr="009B622C">
          <w:rPr>
            <w:rStyle w:val="Hyperlink"/>
            <w:rFonts w:ascii="Century" w:hAnsi="Century"/>
            <w:b/>
            <w:bCs/>
            <w:sz w:val="24"/>
            <w:szCs w:val="24"/>
          </w:rPr>
          <w:t>See Rule of Professional Conduct</w:t>
        </w:r>
        <w:r w:rsidRPr="009B622C">
          <w:rPr>
            <w:rStyle w:val="Hyperlink"/>
            <w:rFonts w:ascii="Century" w:hAnsi="Century"/>
            <w:b/>
            <w:bCs/>
            <w:sz w:val="24"/>
            <w:szCs w:val="24"/>
          </w:rPr>
          <w:t xml:space="preserve"> 3.1</w:t>
        </w:r>
      </w:hyperlink>
      <w:r w:rsidRPr="009B622C">
        <w:rPr>
          <w:rFonts w:ascii="Century" w:hAnsi="Century"/>
          <w:b/>
          <w:bCs/>
          <w:sz w:val="24"/>
          <w:szCs w:val="24"/>
        </w:rPr>
        <w:t>, CRCP 11(a).</w:t>
      </w:r>
    </w:p>
    <w:p w14:paraId="1979985A" w14:textId="77777777" w:rsidR="009B622C" w:rsidRPr="009B622C" w:rsidRDefault="009B622C" w:rsidP="009B622C">
      <w:pPr>
        <w:pStyle w:val="ListParagraph"/>
        <w:numPr>
          <w:ilvl w:val="0"/>
          <w:numId w:val="2"/>
        </w:numPr>
        <w:rPr>
          <w:rFonts w:ascii="Century" w:hAnsi="Century"/>
          <w:b/>
          <w:bCs/>
          <w:sz w:val="24"/>
          <w:szCs w:val="24"/>
        </w:rPr>
      </w:pPr>
      <w:r w:rsidRPr="009B622C">
        <w:rPr>
          <w:rFonts w:ascii="Century" w:hAnsi="Century"/>
          <w:b/>
          <w:bCs/>
          <w:sz w:val="24"/>
          <w:szCs w:val="24"/>
        </w:rPr>
        <w:t xml:space="preserve">Discovery Responses: </w:t>
      </w:r>
      <w:r w:rsidRPr="009B622C">
        <w:rPr>
          <w:rFonts w:ascii="Century" w:hAnsi="Century"/>
          <w:sz w:val="24"/>
          <w:szCs w:val="24"/>
        </w:rPr>
        <w:t xml:space="preserve">RPCs should request extensions of time </w:t>
      </w:r>
      <w:proofErr w:type="gramStart"/>
      <w:r w:rsidRPr="009B622C">
        <w:rPr>
          <w:rFonts w:ascii="Century" w:hAnsi="Century"/>
          <w:sz w:val="24"/>
          <w:szCs w:val="24"/>
        </w:rPr>
        <w:t>in order to</w:t>
      </w:r>
      <w:proofErr w:type="gramEnd"/>
      <w:r w:rsidRPr="009B622C">
        <w:rPr>
          <w:rFonts w:ascii="Century" w:hAnsi="Century"/>
          <w:sz w:val="24"/>
          <w:szCs w:val="24"/>
        </w:rPr>
        <w:t xml:space="preserve"> locate the client but must consider RPC 3.3 and 4.1 and not make false statements to tribunals or third parties regarding the client’s availability or participation in the preparation of the responses</w:t>
      </w:r>
      <w:r w:rsidRPr="009B622C">
        <w:rPr>
          <w:rFonts w:ascii="Century" w:hAnsi="Century"/>
          <w:b/>
          <w:bCs/>
          <w:sz w:val="24"/>
          <w:szCs w:val="24"/>
        </w:rPr>
        <w:t>.  See Ethics Opinion 128.</w:t>
      </w:r>
    </w:p>
    <w:p w14:paraId="68D670C9" w14:textId="7A94B7A2" w:rsidR="009B622C" w:rsidRPr="009B622C" w:rsidRDefault="009B622C" w:rsidP="009B622C">
      <w:pPr>
        <w:pStyle w:val="ListParagraph"/>
        <w:numPr>
          <w:ilvl w:val="0"/>
          <w:numId w:val="2"/>
        </w:numPr>
        <w:rPr>
          <w:rFonts w:ascii="Century" w:hAnsi="Century"/>
          <w:b/>
          <w:bCs/>
          <w:sz w:val="24"/>
          <w:szCs w:val="24"/>
        </w:rPr>
      </w:pPr>
      <w:r w:rsidRPr="009B622C">
        <w:rPr>
          <w:rFonts w:ascii="Century" w:hAnsi="Century"/>
          <w:sz w:val="24"/>
          <w:szCs w:val="24"/>
        </w:rPr>
        <w:lastRenderedPageBreak/>
        <w:t xml:space="preserve">There may be circumstances where disclosing the client’s absence will be detrimental to the client’s interests. However, if the desire to preserve the confidence of “information relating to the representation” conflicts with the lawyer’s duty of candor to the court, then the lawyer must truthfully inform the court of the client’s absence. Colo. RPC </w:t>
      </w:r>
      <w:hyperlink r:id="rId23" w:history="1">
        <w:r w:rsidRPr="00656B0B">
          <w:rPr>
            <w:rStyle w:val="Hyperlink"/>
            <w:rFonts w:ascii="Century" w:hAnsi="Century"/>
            <w:sz w:val="24"/>
            <w:szCs w:val="24"/>
          </w:rPr>
          <w:t>1.6</w:t>
        </w:r>
      </w:hyperlink>
      <w:r w:rsidRPr="009B622C">
        <w:rPr>
          <w:rFonts w:ascii="Century" w:hAnsi="Century"/>
          <w:sz w:val="24"/>
          <w:szCs w:val="24"/>
        </w:rPr>
        <w:t xml:space="preserve">; see also </w:t>
      </w:r>
      <w:hyperlink r:id="rId24" w:history="1">
        <w:r w:rsidRPr="00656B0B">
          <w:rPr>
            <w:rStyle w:val="Hyperlink"/>
            <w:rFonts w:ascii="Century" w:hAnsi="Century"/>
            <w:sz w:val="24"/>
            <w:szCs w:val="24"/>
          </w:rPr>
          <w:t>CBA Op. 123</w:t>
        </w:r>
      </w:hyperlink>
      <w:r w:rsidRPr="009B622C">
        <w:rPr>
          <w:rFonts w:ascii="Century" w:hAnsi="Century"/>
          <w:sz w:val="24"/>
          <w:szCs w:val="24"/>
        </w:rPr>
        <w:t xml:space="preserve">. However, the lawyer should take care to reveal such information only to the extent reasonably necessary to comply with Colo. RPC 3.3 or as otherwise permitted by Colo. RPC 1.6. Colo. RPC 3.3, </w:t>
      </w:r>
      <w:proofErr w:type="spellStart"/>
      <w:r w:rsidRPr="009B622C">
        <w:rPr>
          <w:rFonts w:ascii="Century" w:hAnsi="Century"/>
          <w:sz w:val="24"/>
          <w:szCs w:val="24"/>
        </w:rPr>
        <w:t>cmt</w:t>
      </w:r>
      <w:proofErr w:type="spellEnd"/>
      <w:r w:rsidRPr="009B622C">
        <w:rPr>
          <w:rFonts w:ascii="Century" w:hAnsi="Century"/>
          <w:sz w:val="24"/>
          <w:szCs w:val="24"/>
        </w:rPr>
        <w:t>. [15].</w:t>
      </w:r>
    </w:p>
    <w:p w14:paraId="05B1C2CA" w14:textId="77777777" w:rsidR="009B622C" w:rsidRPr="009B622C" w:rsidRDefault="009B622C" w:rsidP="009B622C">
      <w:pPr>
        <w:pStyle w:val="ListParagraph"/>
        <w:numPr>
          <w:ilvl w:val="0"/>
          <w:numId w:val="2"/>
        </w:numPr>
        <w:rPr>
          <w:rFonts w:ascii="Century" w:hAnsi="Century"/>
          <w:sz w:val="24"/>
          <w:szCs w:val="24"/>
        </w:rPr>
      </w:pPr>
      <w:r w:rsidRPr="009B622C">
        <w:rPr>
          <w:rFonts w:ascii="Century" w:hAnsi="Century"/>
          <w:b/>
          <w:bCs/>
          <w:sz w:val="24"/>
          <w:szCs w:val="24"/>
        </w:rPr>
        <w:t xml:space="preserve">Should you withdraw? – </w:t>
      </w:r>
      <w:r w:rsidRPr="009B622C">
        <w:rPr>
          <w:rFonts w:ascii="Century" w:hAnsi="Century"/>
          <w:sz w:val="24"/>
          <w:szCs w:val="24"/>
        </w:rPr>
        <w:t xml:space="preserve">may be required if you do not have sufficient direction and cannot locate client – consider </w:t>
      </w:r>
      <w:r w:rsidRPr="009B622C">
        <w:rPr>
          <w:rFonts w:ascii="Century" w:hAnsi="Century"/>
          <w:i/>
          <w:iCs/>
          <w:sz w:val="24"/>
          <w:szCs w:val="24"/>
        </w:rPr>
        <w:t xml:space="preserve">People v. </w:t>
      </w:r>
      <w:proofErr w:type="spellStart"/>
      <w:r w:rsidRPr="009B622C">
        <w:rPr>
          <w:rFonts w:ascii="Century" w:hAnsi="Century"/>
          <w:i/>
          <w:iCs/>
          <w:sz w:val="24"/>
          <w:szCs w:val="24"/>
        </w:rPr>
        <w:t>Silvola</w:t>
      </w:r>
      <w:proofErr w:type="spellEnd"/>
      <w:r w:rsidRPr="009B622C">
        <w:rPr>
          <w:rFonts w:ascii="Century" w:hAnsi="Century"/>
          <w:sz w:val="24"/>
          <w:szCs w:val="24"/>
        </w:rPr>
        <w:t>, 915 P.2d 1281, 1284-85 (Colo. 1996).</w:t>
      </w:r>
    </w:p>
    <w:p w14:paraId="0F8A64DA" w14:textId="4705038E" w:rsidR="009B622C" w:rsidRPr="009B622C" w:rsidRDefault="009B622C" w:rsidP="009B622C">
      <w:pPr>
        <w:pStyle w:val="ListParagraph"/>
        <w:numPr>
          <w:ilvl w:val="0"/>
          <w:numId w:val="2"/>
        </w:numPr>
        <w:rPr>
          <w:rFonts w:ascii="Century" w:hAnsi="Century"/>
          <w:sz w:val="24"/>
          <w:szCs w:val="24"/>
        </w:rPr>
      </w:pPr>
      <w:r w:rsidRPr="009B622C">
        <w:rPr>
          <w:rFonts w:ascii="Century" w:hAnsi="Century"/>
          <w:sz w:val="24"/>
          <w:szCs w:val="24"/>
        </w:rPr>
        <w:t xml:space="preserve">Consider reading </w:t>
      </w:r>
      <w:hyperlink r:id="rId25" w:history="1">
        <w:r w:rsidRPr="00656B0B">
          <w:rPr>
            <w:rStyle w:val="Hyperlink"/>
            <w:rFonts w:ascii="Century" w:hAnsi="Century"/>
            <w:sz w:val="24"/>
            <w:szCs w:val="24"/>
          </w:rPr>
          <w:t>Ethics Opini</w:t>
        </w:r>
        <w:r w:rsidRPr="00656B0B">
          <w:rPr>
            <w:rStyle w:val="Hyperlink"/>
            <w:rFonts w:ascii="Century" w:hAnsi="Century"/>
            <w:sz w:val="24"/>
            <w:szCs w:val="24"/>
          </w:rPr>
          <w:t>o</w:t>
        </w:r>
        <w:r w:rsidRPr="00656B0B">
          <w:rPr>
            <w:rStyle w:val="Hyperlink"/>
            <w:rFonts w:ascii="Century" w:hAnsi="Century"/>
            <w:sz w:val="24"/>
            <w:szCs w:val="24"/>
          </w:rPr>
          <w:t>n 128</w:t>
        </w:r>
      </w:hyperlink>
      <w:r w:rsidR="00656B0B">
        <w:rPr>
          <w:rFonts w:ascii="Century" w:hAnsi="Century"/>
          <w:sz w:val="24"/>
          <w:szCs w:val="24"/>
        </w:rPr>
        <w:t>.</w:t>
      </w:r>
    </w:p>
    <w:p w14:paraId="4B4BABC7" w14:textId="1877E648" w:rsidR="009B622C" w:rsidRPr="009B622C" w:rsidRDefault="009B622C" w:rsidP="009B622C">
      <w:pPr>
        <w:pStyle w:val="ListParagraph"/>
        <w:numPr>
          <w:ilvl w:val="0"/>
          <w:numId w:val="2"/>
        </w:numPr>
        <w:rPr>
          <w:rFonts w:ascii="Century" w:hAnsi="Century"/>
          <w:sz w:val="24"/>
          <w:szCs w:val="24"/>
        </w:rPr>
      </w:pPr>
      <w:r w:rsidRPr="009B622C">
        <w:rPr>
          <w:rFonts w:ascii="Century" w:hAnsi="Century"/>
          <w:sz w:val="24"/>
          <w:szCs w:val="24"/>
        </w:rPr>
        <w:t xml:space="preserve">Consider reading </w:t>
      </w:r>
      <w:hyperlink r:id="rId26" w:history="1">
        <w:r w:rsidRPr="00656B0B">
          <w:rPr>
            <w:rStyle w:val="Hyperlink"/>
            <w:rFonts w:ascii="Century" w:hAnsi="Century"/>
            <w:sz w:val="24"/>
            <w:szCs w:val="24"/>
          </w:rPr>
          <w:t>Ethics Opinion 114</w:t>
        </w:r>
      </w:hyperlink>
      <w:r w:rsidRPr="009B622C">
        <w:rPr>
          <w:rFonts w:ascii="Century" w:hAnsi="Century"/>
          <w:sz w:val="24"/>
          <w:szCs w:val="24"/>
        </w:rPr>
        <w:t xml:space="preserve">: </w:t>
      </w:r>
    </w:p>
    <w:p w14:paraId="24799D55" w14:textId="77777777" w:rsidR="006725CB" w:rsidRPr="009B622C" w:rsidRDefault="006725CB">
      <w:pPr>
        <w:rPr>
          <w:rFonts w:ascii="Century" w:hAnsi="Century"/>
          <w:sz w:val="24"/>
          <w:szCs w:val="24"/>
        </w:rPr>
      </w:pPr>
    </w:p>
    <w:p w14:paraId="68958CC2" w14:textId="77777777" w:rsidR="006725CB" w:rsidRPr="009B622C" w:rsidRDefault="006725CB">
      <w:pPr>
        <w:rPr>
          <w:rFonts w:ascii="Century" w:hAnsi="Century"/>
          <w:sz w:val="24"/>
          <w:szCs w:val="24"/>
        </w:rPr>
      </w:pPr>
    </w:p>
    <w:p w14:paraId="4C45E83C" w14:textId="77777777" w:rsidR="00A974B1" w:rsidRPr="009B622C" w:rsidRDefault="00A974B1">
      <w:pPr>
        <w:rPr>
          <w:rFonts w:ascii="Century" w:hAnsi="Century"/>
          <w:sz w:val="24"/>
          <w:szCs w:val="24"/>
        </w:rPr>
      </w:pPr>
      <w:r w:rsidRPr="009B622C">
        <w:rPr>
          <w:rFonts w:ascii="Century" w:hAnsi="Century"/>
          <w:sz w:val="24"/>
          <w:szCs w:val="24"/>
        </w:rPr>
        <w:t xml:space="preserve"> </w:t>
      </w:r>
    </w:p>
    <w:p w14:paraId="30EB2602" w14:textId="77777777" w:rsidR="00A974B1" w:rsidRPr="009B622C" w:rsidRDefault="00A974B1">
      <w:pPr>
        <w:rPr>
          <w:rFonts w:ascii="Century" w:hAnsi="Century"/>
          <w:sz w:val="24"/>
          <w:szCs w:val="24"/>
        </w:rPr>
      </w:pPr>
    </w:p>
    <w:p w14:paraId="481DD6E5" w14:textId="77777777" w:rsidR="006725CB" w:rsidRPr="00402376" w:rsidRDefault="006725CB">
      <w:pPr>
        <w:rPr>
          <w:rFonts w:ascii="Century" w:hAnsi="Century"/>
          <w:sz w:val="24"/>
          <w:szCs w:val="24"/>
        </w:rPr>
      </w:pPr>
    </w:p>
    <w:sectPr w:rsidR="006725CB" w:rsidRPr="0040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C31"/>
    <w:multiLevelType w:val="hybridMultilevel"/>
    <w:tmpl w:val="6734D12C"/>
    <w:lvl w:ilvl="0" w:tplc="6B88BBC0">
      <w:start w:val="5"/>
      <w:numFmt w:val="bullet"/>
      <w:lvlText w:val="-"/>
      <w:lvlJc w:val="left"/>
      <w:pPr>
        <w:ind w:left="720" w:hanging="360"/>
      </w:pPr>
      <w:rPr>
        <w:rFonts w:ascii="Century" w:eastAsiaTheme="minorHAnsi" w:hAnsi="Century"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37732"/>
    <w:multiLevelType w:val="hybridMultilevel"/>
    <w:tmpl w:val="124E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D358065-E67B-4B63-88F2-39E8480EB3B3}"/>
    <w:docVar w:name="dgnword-eventsink" w:val="124179752"/>
  </w:docVars>
  <w:rsids>
    <w:rsidRoot w:val="00A974B1"/>
    <w:rsid w:val="00030537"/>
    <w:rsid w:val="001F61CF"/>
    <w:rsid w:val="00402376"/>
    <w:rsid w:val="004A769B"/>
    <w:rsid w:val="00656B0B"/>
    <w:rsid w:val="006725CB"/>
    <w:rsid w:val="008D628E"/>
    <w:rsid w:val="009B622C"/>
    <w:rsid w:val="00A974B1"/>
    <w:rsid w:val="00C6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D305"/>
  <w15:docId w15:val="{8BB7BB3C-EDF2-4FFC-BA72-A6691B86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B1"/>
    <w:rPr>
      <w:color w:val="0000FF" w:themeColor="hyperlink"/>
      <w:u w:val="single"/>
    </w:rPr>
  </w:style>
  <w:style w:type="paragraph" w:styleId="ListParagraph">
    <w:name w:val="List Paragraph"/>
    <w:basedOn w:val="Normal"/>
    <w:uiPriority w:val="34"/>
    <w:qFormat/>
    <w:rsid w:val="00402376"/>
    <w:pPr>
      <w:ind w:left="720"/>
      <w:contextualSpacing/>
    </w:pPr>
  </w:style>
  <w:style w:type="character" w:styleId="UnresolvedMention">
    <w:name w:val="Unresolved Mention"/>
    <w:basedOn w:val="DefaultParagraphFont"/>
    <w:uiPriority w:val="99"/>
    <w:semiHidden/>
    <w:unhideWhenUsed/>
    <w:rsid w:val="00030537"/>
    <w:rPr>
      <w:color w:val="605E5C"/>
      <w:shd w:val="clear" w:color="auto" w:fill="E1DFDD"/>
    </w:rPr>
  </w:style>
  <w:style w:type="character" w:styleId="FollowedHyperlink">
    <w:name w:val="FollowedHyperlink"/>
    <w:basedOn w:val="DefaultParagraphFont"/>
    <w:uiPriority w:val="99"/>
    <w:semiHidden/>
    <w:unhideWhenUsed/>
    <w:rsid w:val="009B6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338388">
      <w:bodyDiv w:val="1"/>
      <w:marLeft w:val="0"/>
      <w:marRight w:val="0"/>
      <w:marTop w:val="0"/>
      <w:marBottom w:val="0"/>
      <w:divBdr>
        <w:top w:val="none" w:sz="0" w:space="0" w:color="auto"/>
        <w:left w:val="none" w:sz="0" w:space="0" w:color="auto"/>
        <w:bottom w:val="none" w:sz="0" w:space="0" w:color="auto"/>
        <w:right w:val="none" w:sz="0" w:space="0" w:color="auto"/>
      </w:divBdr>
    </w:div>
    <w:div w:id="15028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csheriffsoffice.com/inmate-search" TargetMode="External"/><Relationship Id="rId13" Type="http://schemas.openxmlformats.org/officeDocument/2006/relationships/hyperlink" Target="https://www.ice.gov/contact/ope" TargetMode="External"/><Relationship Id="rId18" Type="http://schemas.openxmlformats.org/officeDocument/2006/relationships/hyperlink" Target="https://www.cobar.org/Portals/COBAR/Repository/ethicsOpinions/FormalEthicsOpinion_128.pdf?ver=2016-07-11-153848-457" TargetMode="External"/><Relationship Id="rId26" Type="http://schemas.openxmlformats.org/officeDocument/2006/relationships/hyperlink" Target="https://www.cobar.org/Portals/COBAR/repository/ethicsOpinions/FormalEthicsOpinion_114_2011.pdf" TargetMode="External"/><Relationship Id="rId3" Type="http://schemas.openxmlformats.org/officeDocument/2006/relationships/settings" Target="settings.xml"/><Relationship Id="rId21" Type="http://schemas.openxmlformats.org/officeDocument/2006/relationships/hyperlink" Target="https://www.cobar.org/For-Members/Opinions-Rules-Statutes/Rules-of-Professional-Conduct/Rule-33-Candor-Toward-the-Tribunal" TargetMode="External"/><Relationship Id="rId7" Type="http://schemas.openxmlformats.org/officeDocument/2006/relationships/hyperlink" Target="http://www.arapahoegov.com/index.aspx?NID=1175" TargetMode="External"/><Relationship Id="rId12" Type="http://schemas.openxmlformats.org/officeDocument/2006/relationships/hyperlink" Target="https://www.ice.gov/contact/field-offices" TargetMode="External"/><Relationship Id="rId17" Type="http://schemas.openxmlformats.org/officeDocument/2006/relationships/hyperlink" Target="mailto:mjordan@coloradoorpc.org" TargetMode="External"/><Relationship Id="rId25" Type="http://schemas.openxmlformats.org/officeDocument/2006/relationships/hyperlink" Target="https://www.cobar.org/Portals/COBAR/Repository/ethicsOpinions/FormalEthicsOpinion_128.pdf?ver=2016-07-11-153848-457" TargetMode="External"/><Relationship Id="rId2" Type="http://schemas.openxmlformats.org/officeDocument/2006/relationships/styles" Target="styles.xml"/><Relationship Id="rId16" Type="http://schemas.openxmlformats.org/officeDocument/2006/relationships/hyperlink" Target="https://coloradoorpc.org/attorney-center/experts/" TargetMode="External"/><Relationship Id="rId20" Type="http://schemas.openxmlformats.org/officeDocument/2006/relationships/hyperlink" Target="https://www.cobar.org/For-Members/Opinions-Rules-Statutes/Rules-of-Professional-Conduct/Rule-41-Truthfulness-in-Statements-to-Others" TargetMode="External"/><Relationship Id="rId1" Type="http://schemas.openxmlformats.org/officeDocument/2006/relationships/numbering" Target="numbering.xml"/><Relationship Id="rId6" Type="http://schemas.openxmlformats.org/officeDocument/2006/relationships/hyperlink" Target="https://www.vinelink.com/" TargetMode="External"/><Relationship Id="rId11" Type="http://schemas.openxmlformats.org/officeDocument/2006/relationships/hyperlink" Target="https://locator.ice.gov/odls/" TargetMode="External"/><Relationship Id="rId24" Type="http://schemas.openxmlformats.org/officeDocument/2006/relationships/hyperlink" Target="https://www.cobar.org/Portals/COBAR/repository/ethicsOpinions/FormalEthicsOpinion_123_2011.pdf" TargetMode="External"/><Relationship Id="rId5" Type="http://schemas.openxmlformats.org/officeDocument/2006/relationships/hyperlink" Target="http://www.doc.state.co.us/oss/" TargetMode="External"/><Relationship Id="rId15" Type="http://schemas.openxmlformats.org/officeDocument/2006/relationships/hyperlink" Target="mailto:mjordan@coloradoorpc.org" TargetMode="External"/><Relationship Id="rId23" Type="http://schemas.openxmlformats.org/officeDocument/2006/relationships/hyperlink" Target="https://www.cobar.org/For-Members/Opinions-Rules-Statutes/Rules-of-Professional-Conduct/Rule-16-Confidentiality-of-Information" TargetMode="External"/><Relationship Id="rId28" Type="http://schemas.openxmlformats.org/officeDocument/2006/relationships/theme" Target="theme/theme1.xml"/><Relationship Id="rId10" Type="http://schemas.openxmlformats.org/officeDocument/2006/relationships/hyperlink" Target="https://www.bop.gov/inmateloc/" TargetMode="External"/><Relationship Id="rId19" Type="http://schemas.openxmlformats.org/officeDocument/2006/relationships/hyperlink" Target="https://www.cobar.org/For-Members/Opinions-Rules-Statutes/Rules-of-Professional-Conduct/Rule-84-Misconduct" TargetMode="External"/><Relationship Id="rId4" Type="http://schemas.openxmlformats.org/officeDocument/2006/relationships/webSettings" Target="webSettings.xml"/><Relationship Id="rId9" Type="http://schemas.openxmlformats.org/officeDocument/2006/relationships/hyperlink" Target="http://jeffco.us/wil/" TargetMode="External"/><Relationship Id="rId14" Type="http://schemas.openxmlformats.org/officeDocument/2006/relationships/hyperlink" Target="https://www.ice.gov/detention-facilities" TargetMode="External"/><Relationship Id="rId22" Type="http://schemas.openxmlformats.org/officeDocument/2006/relationships/hyperlink" Target="https://www.cobar.org/For-Members/Opinions-Rules-Statutes/Rules-of-Professional-Conduct/Rule-31-Meritorious-Claims-and-Conten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Lucas</dc:creator>
  <cp:lastModifiedBy>Melanie Jordan</cp:lastModifiedBy>
  <cp:revision>2</cp:revision>
  <dcterms:created xsi:type="dcterms:W3CDTF">2021-04-07T18:08:00Z</dcterms:created>
  <dcterms:modified xsi:type="dcterms:W3CDTF">2021-04-07T18:08:00Z</dcterms:modified>
</cp:coreProperties>
</file>